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9EE" w:rsidRDefault="006149EE" w:rsidP="00B429E2">
      <w:pPr>
        <w:spacing w:after="0" w:line="240" w:lineRule="auto"/>
        <w:ind w:right="-172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  <w:shd w:val="clear" w:color="auto" w:fill="FFFFFF"/>
          <w:lang w:val="en-US"/>
        </w:rPr>
        <w:t>VII</w:t>
      </w:r>
      <w:r>
        <w:rPr>
          <w:rFonts w:ascii="Garamond" w:hAnsi="Garamond"/>
          <w:b/>
          <w:sz w:val="28"/>
          <w:szCs w:val="28"/>
          <w:shd w:val="clear" w:color="auto" w:fill="FFFFFF"/>
        </w:rPr>
        <w:t xml:space="preserve">.2. </w:t>
      </w:r>
      <w:r>
        <w:rPr>
          <w:rFonts w:ascii="Garamond" w:hAnsi="Garamond"/>
          <w:b/>
          <w:sz w:val="28"/>
          <w:szCs w:val="28"/>
        </w:rPr>
        <w:t>Изменения, связанные с порядком формирования групп точек поставки потребления</w:t>
      </w:r>
    </w:p>
    <w:p w:rsidR="006149EE" w:rsidRDefault="006149EE" w:rsidP="00B429E2">
      <w:pPr>
        <w:spacing w:after="0" w:line="240" w:lineRule="auto"/>
        <w:ind w:right="-172"/>
        <w:rPr>
          <w:rFonts w:ascii="Garamond" w:hAnsi="Garamond"/>
          <w:b/>
          <w:sz w:val="28"/>
          <w:szCs w:val="28"/>
        </w:rPr>
      </w:pPr>
    </w:p>
    <w:p w:rsidR="006149EE" w:rsidRPr="004A3826" w:rsidRDefault="006149EE" w:rsidP="00B429E2">
      <w:pPr>
        <w:spacing w:after="0" w:line="240" w:lineRule="auto"/>
        <w:ind w:right="-172"/>
        <w:jc w:val="right"/>
        <w:rPr>
          <w:rFonts w:ascii="Garamond" w:hAnsi="Garamond"/>
          <w:b/>
          <w:sz w:val="28"/>
          <w:szCs w:val="28"/>
        </w:rPr>
      </w:pPr>
      <w:r w:rsidRPr="004A3826">
        <w:rPr>
          <w:rFonts w:ascii="Garamond" w:hAnsi="Garamond"/>
          <w:b/>
          <w:sz w:val="28"/>
          <w:szCs w:val="28"/>
        </w:rPr>
        <w:t xml:space="preserve">Приложение </w:t>
      </w:r>
      <w:r w:rsidRPr="00CF535D">
        <w:rPr>
          <w:rFonts w:ascii="Garamond" w:hAnsi="Garamond"/>
          <w:b/>
          <w:sz w:val="28"/>
          <w:szCs w:val="28"/>
        </w:rPr>
        <w:t>№ 7.2</w:t>
      </w:r>
    </w:p>
    <w:p w:rsidR="006149EE" w:rsidRPr="004A3826" w:rsidRDefault="006149EE" w:rsidP="00B429E2">
      <w:pPr>
        <w:spacing w:after="0" w:line="240" w:lineRule="auto"/>
        <w:ind w:right="-172"/>
        <w:jc w:val="right"/>
        <w:rPr>
          <w:rFonts w:ascii="Garamond" w:hAnsi="Garamond"/>
          <w:b/>
          <w:sz w:val="28"/>
          <w:szCs w:val="28"/>
          <w:shd w:val="clear" w:color="auto" w:fill="FFFFFF"/>
        </w:rPr>
      </w:pPr>
    </w:p>
    <w:tbl>
      <w:tblPr>
        <w:tblW w:w="152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262"/>
      </w:tblGrid>
      <w:tr w:rsidR="006149EE" w:rsidRPr="0076771B" w:rsidTr="00770FC5">
        <w:trPr>
          <w:trHeight w:val="1466"/>
        </w:trPr>
        <w:tc>
          <w:tcPr>
            <w:tcW w:w="15262" w:type="dxa"/>
          </w:tcPr>
          <w:p w:rsidR="006149EE" w:rsidRPr="0076771B" w:rsidRDefault="006149EE" w:rsidP="00770FC5">
            <w:pPr>
              <w:spacing w:after="0" w:line="240" w:lineRule="auto"/>
              <w:ind w:left="12"/>
              <w:rPr>
                <w:rFonts w:ascii="Garamond" w:hAnsi="Garamond"/>
                <w:sz w:val="24"/>
                <w:szCs w:val="24"/>
              </w:rPr>
            </w:pPr>
            <w:r w:rsidRPr="0076771B">
              <w:rPr>
                <w:rFonts w:ascii="Garamond" w:hAnsi="Garamond"/>
                <w:b/>
                <w:sz w:val="24"/>
                <w:szCs w:val="24"/>
              </w:rPr>
              <w:t xml:space="preserve">Инициатор: </w:t>
            </w:r>
            <w:r w:rsidRPr="0076771B">
              <w:rPr>
                <w:rFonts w:ascii="Garamond" w:hAnsi="Garamond"/>
                <w:sz w:val="24"/>
                <w:szCs w:val="24"/>
              </w:rPr>
              <w:t>ООО «ГлавЭнергоСбыт».</w:t>
            </w:r>
          </w:p>
          <w:p w:rsidR="006149EE" w:rsidRPr="004B5353" w:rsidRDefault="006149EE" w:rsidP="00770FC5">
            <w:pPr>
              <w:spacing w:after="0" w:line="240" w:lineRule="auto"/>
              <w:ind w:left="12"/>
              <w:rPr>
                <w:rFonts w:ascii="Garamond" w:hAnsi="Garamond"/>
                <w:sz w:val="24"/>
                <w:szCs w:val="24"/>
              </w:rPr>
            </w:pPr>
            <w:r w:rsidRPr="0076771B">
              <w:rPr>
                <w:rFonts w:ascii="Garamond" w:hAnsi="Garamond"/>
                <w:b/>
                <w:sz w:val="24"/>
                <w:szCs w:val="24"/>
              </w:rPr>
              <w:t>Обоснование:</w:t>
            </w:r>
            <w:r w:rsidRPr="0076771B">
              <w:rPr>
                <w:rFonts w:ascii="Garamond" w:hAnsi="Garamond"/>
                <w:sz w:val="24"/>
                <w:szCs w:val="24"/>
              </w:rPr>
              <w:t xml:space="preserve"> уточнени</w:t>
            </w:r>
            <w:r>
              <w:rPr>
                <w:rFonts w:ascii="Garamond" w:hAnsi="Garamond"/>
                <w:sz w:val="24"/>
                <w:szCs w:val="24"/>
              </w:rPr>
              <w:t>е</w:t>
            </w:r>
            <w:r w:rsidRPr="0076771B">
              <w:rPr>
                <w:rFonts w:ascii="Garamond" w:hAnsi="Garamond"/>
                <w:sz w:val="24"/>
                <w:szCs w:val="24"/>
              </w:rPr>
              <w:t xml:space="preserve"> порядка формирования групп точек поставки и стимулирования потребителя к оптимальному использованию энергопринимающих устройств, снижение небаланса балансирующего рынка и оптимизаци</w:t>
            </w:r>
            <w:r>
              <w:rPr>
                <w:rFonts w:ascii="Garamond" w:hAnsi="Garamond"/>
                <w:sz w:val="24"/>
                <w:szCs w:val="24"/>
              </w:rPr>
              <w:t>я</w:t>
            </w:r>
            <w:r w:rsidRPr="0076771B">
              <w:rPr>
                <w:rFonts w:ascii="Garamond" w:hAnsi="Garamond"/>
                <w:sz w:val="24"/>
                <w:szCs w:val="24"/>
              </w:rPr>
              <w:t xml:space="preserve"> режимов работы генерирующего оборудования. </w:t>
            </w:r>
            <w:r w:rsidRPr="004B5353">
              <w:rPr>
                <w:rFonts w:ascii="Garamond" w:hAnsi="Garamond"/>
                <w:sz w:val="24"/>
                <w:szCs w:val="24"/>
              </w:rPr>
              <w:t>Уменьшени</w:t>
            </w:r>
            <w:r>
              <w:rPr>
                <w:rFonts w:ascii="Garamond" w:hAnsi="Garamond"/>
                <w:sz w:val="24"/>
                <w:szCs w:val="24"/>
              </w:rPr>
              <w:t>е</w:t>
            </w:r>
            <w:r w:rsidRPr="004B5353">
              <w:rPr>
                <w:rFonts w:ascii="Garamond" w:hAnsi="Garamond"/>
                <w:sz w:val="24"/>
                <w:szCs w:val="24"/>
              </w:rPr>
              <w:t xml:space="preserve"> размера финансовых обязательств покупателя на оптовом рынке за</w:t>
            </w:r>
            <w:r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004B5353">
              <w:rPr>
                <w:rFonts w:ascii="Garamond" w:hAnsi="Garamond"/>
                <w:sz w:val="24"/>
                <w:szCs w:val="24"/>
              </w:rPr>
              <w:t>счет сальдирования разнонаправленных отклонений по собственной инициативе.</w:t>
            </w:r>
          </w:p>
          <w:p w:rsidR="006149EE" w:rsidRPr="0076771B" w:rsidRDefault="006149EE" w:rsidP="00770FC5">
            <w:pPr>
              <w:spacing w:after="0" w:line="240" w:lineRule="auto"/>
              <w:ind w:left="12"/>
              <w:jc w:val="both"/>
              <w:rPr>
                <w:rFonts w:ascii="Garamond" w:hAnsi="Garamond"/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76771B">
              <w:rPr>
                <w:rFonts w:ascii="Garamond" w:hAnsi="Garamond"/>
                <w:b/>
                <w:sz w:val="24"/>
                <w:szCs w:val="24"/>
              </w:rPr>
              <w:t xml:space="preserve">Дата вступления в силу: </w:t>
            </w:r>
            <w:r w:rsidRPr="0076771B">
              <w:rPr>
                <w:rFonts w:ascii="Garamond" w:hAnsi="Garamond"/>
                <w:sz w:val="24"/>
                <w:szCs w:val="24"/>
              </w:rPr>
              <w:t>1 июня 2016 года</w:t>
            </w:r>
            <w:r>
              <w:rPr>
                <w:rFonts w:ascii="Garamond" w:hAnsi="Garamond"/>
                <w:sz w:val="24"/>
                <w:szCs w:val="24"/>
              </w:rPr>
              <w:t>.</w:t>
            </w:r>
          </w:p>
        </w:tc>
      </w:tr>
    </w:tbl>
    <w:p w:rsidR="006149EE" w:rsidRPr="004B5353" w:rsidRDefault="006149EE" w:rsidP="00B429E2">
      <w:pPr>
        <w:spacing w:after="0" w:line="240" w:lineRule="auto"/>
        <w:ind w:right="-172"/>
        <w:rPr>
          <w:rFonts w:ascii="Garamond" w:hAnsi="Garamond"/>
          <w:b/>
          <w:color w:val="333333"/>
          <w:sz w:val="24"/>
          <w:szCs w:val="24"/>
          <w:shd w:val="clear" w:color="auto" w:fill="FFFFFF"/>
        </w:rPr>
      </w:pPr>
    </w:p>
    <w:p w:rsidR="006149EE" w:rsidRDefault="006149EE" w:rsidP="00B429E2">
      <w:pPr>
        <w:spacing w:after="0" w:line="240" w:lineRule="auto"/>
        <w:ind w:right="-172"/>
        <w:rPr>
          <w:rFonts w:ascii="Garamond" w:hAnsi="Garamond"/>
          <w:b/>
          <w:sz w:val="26"/>
          <w:szCs w:val="26"/>
        </w:rPr>
      </w:pPr>
      <w:r w:rsidRPr="004A3826">
        <w:rPr>
          <w:rFonts w:ascii="Garamond" w:hAnsi="Garamond"/>
          <w:b/>
          <w:sz w:val="26"/>
          <w:szCs w:val="26"/>
        </w:rPr>
        <w:t xml:space="preserve">Предложения по изменениям и дополнениям в </w:t>
      </w:r>
      <w:r w:rsidRPr="004A3826">
        <w:rPr>
          <w:rFonts w:ascii="Garamond" w:hAnsi="Garamond"/>
          <w:b/>
          <w:caps/>
          <w:sz w:val="26"/>
          <w:szCs w:val="26"/>
        </w:rPr>
        <w:t>Положени</w:t>
      </w:r>
      <w:r>
        <w:rPr>
          <w:rFonts w:ascii="Garamond" w:hAnsi="Garamond"/>
          <w:b/>
          <w:caps/>
          <w:sz w:val="26"/>
          <w:szCs w:val="26"/>
        </w:rPr>
        <w:t>Е</w:t>
      </w:r>
      <w:r w:rsidRPr="004A3826">
        <w:rPr>
          <w:rFonts w:ascii="Garamond" w:hAnsi="Garamond"/>
          <w:b/>
          <w:caps/>
          <w:sz w:val="26"/>
          <w:szCs w:val="26"/>
        </w:rPr>
        <w:t xml:space="preserve"> о порядке пОЛУЧЕНИЯ СТАТУСА СУБЪЕКТА ОПТОВОГО РЫНКА И ВЕДЕНИЯ РЕЕСТРА СУБЪЕКТОВ ОПТОВОГО РЫНКА (</w:t>
      </w:r>
      <w:r w:rsidRPr="004A3826">
        <w:rPr>
          <w:rFonts w:ascii="Garamond" w:hAnsi="Garamond"/>
          <w:b/>
          <w:sz w:val="26"/>
          <w:szCs w:val="26"/>
        </w:rPr>
        <w:t>Приложение № 1.1 к Договору о присоединении к торговой системе оптового рынка)</w:t>
      </w:r>
    </w:p>
    <w:p w:rsidR="006149EE" w:rsidRPr="00B429E2" w:rsidRDefault="006149EE" w:rsidP="00B429E2">
      <w:pPr>
        <w:spacing w:after="0" w:line="240" w:lineRule="auto"/>
        <w:ind w:right="-172"/>
        <w:jc w:val="both"/>
        <w:rPr>
          <w:rFonts w:ascii="Garamond" w:hAnsi="Garamond"/>
          <w:b/>
          <w:sz w:val="26"/>
          <w:szCs w:val="26"/>
        </w:rPr>
      </w:pPr>
    </w:p>
    <w:tbl>
      <w:tblPr>
        <w:tblpPr w:leftFromText="181" w:rightFromText="181" w:vertAnchor="text" w:tblpXSpec="center"/>
        <w:tblW w:w="152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59"/>
        <w:gridCol w:w="6946"/>
        <w:gridCol w:w="7323"/>
      </w:tblGrid>
      <w:tr w:rsidR="006149EE" w:rsidRPr="00B429E2" w:rsidTr="00B429E2">
        <w:trPr>
          <w:trHeight w:val="70"/>
          <w:jc w:val="center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49EE" w:rsidRPr="00B429E2" w:rsidRDefault="006149EE" w:rsidP="00B429E2">
            <w:pPr>
              <w:widowControl w:val="0"/>
              <w:spacing w:after="0" w:line="240" w:lineRule="auto"/>
              <w:jc w:val="center"/>
              <w:rPr>
                <w:rFonts w:ascii="Garamond" w:hAnsi="Garamond"/>
                <w:b/>
                <w:bCs/>
              </w:rPr>
            </w:pPr>
            <w:r w:rsidRPr="00B429E2">
              <w:rPr>
                <w:rFonts w:ascii="Garamond" w:hAnsi="Garamond"/>
                <w:b/>
                <w:bCs/>
              </w:rPr>
              <w:t>№ пункта</w:t>
            </w:r>
          </w:p>
        </w:tc>
        <w:tc>
          <w:tcPr>
            <w:tcW w:w="69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49EE" w:rsidRPr="00B429E2" w:rsidRDefault="006149EE" w:rsidP="00B429E2">
            <w:pPr>
              <w:widowControl w:val="0"/>
              <w:spacing w:after="0" w:line="240" w:lineRule="auto"/>
              <w:jc w:val="center"/>
              <w:rPr>
                <w:rFonts w:ascii="Garamond" w:hAnsi="Garamond"/>
                <w:b/>
                <w:bCs/>
              </w:rPr>
            </w:pPr>
            <w:r w:rsidRPr="00B429E2">
              <w:rPr>
                <w:rFonts w:ascii="Garamond" w:hAnsi="Garamond"/>
                <w:b/>
                <w:bCs/>
              </w:rPr>
              <w:t>Редакция, действующая на момент</w:t>
            </w:r>
          </w:p>
          <w:p w:rsidR="006149EE" w:rsidRPr="00B429E2" w:rsidRDefault="006149EE" w:rsidP="00B429E2">
            <w:pPr>
              <w:spacing w:after="0" w:line="240" w:lineRule="auto"/>
              <w:jc w:val="center"/>
              <w:rPr>
                <w:rFonts w:ascii="Garamond" w:hAnsi="Garamond"/>
              </w:rPr>
            </w:pPr>
            <w:r w:rsidRPr="00B429E2">
              <w:rPr>
                <w:rFonts w:ascii="Garamond" w:hAnsi="Garamond"/>
                <w:b/>
                <w:bCs/>
              </w:rPr>
              <w:t>вступления в силу изменений</w:t>
            </w:r>
          </w:p>
        </w:tc>
        <w:tc>
          <w:tcPr>
            <w:tcW w:w="73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49EE" w:rsidRPr="00B429E2" w:rsidRDefault="006149EE" w:rsidP="00B429E2">
            <w:pPr>
              <w:widowControl w:val="0"/>
              <w:spacing w:after="0" w:line="240" w:lineRule="auto"/>
              <w:ind w:firstLine="33"/>
              <w:jc w:val="center"/>
              <w:rPr>
                <w:rFonts w:ascii="Garamond" w:hAnsi="Garamond"/>
                <w:b/>
                <w:bCs/>
              </w:rPr>
            </w:pPr>
            <w:r w:rsidRPr="00B429E2">
              <w:rPr>
                <w:rFonts w:ascii="Garamond" w:hAnsi="Garamond"/>
                <w:b/>
                <w:bCs/>
              </w:rPr>
              <w:t>Предлагаемая редакция</w:t>
            </w:r>
          </w:p>
          <w:p w:rsidR="006149EE" w:rsidRPr="00B429E2" w:rsidRDefault="006149EE" w:rsidP="00B429E2">
            <w:pPr>
              <w:spacing w:after="0" w:line="240" w:lineRule="auto"/>
              <w:jc w:val="center"/>
              <w:rPr>
                <w:rFonts w:ascii="Garamond" w:hAnsi="Garamond"/>
              </w:rPr>
            </w:pPr>
            <w:r w:rsidRPr="00B429E2">
              <w:rPr>
                <w:rFonts w:ascii="Garamond" w:hAnsi="Garamond"/>
                <w:bCs/>
              </w:rPr>
              <w:t>(изменения выделены цветом)</w:t>
            </w:r>
          </w:p>
        </w:tc>
      </w:tr>
      <w:tr w:rsidR="006149EE" w:rsidRPr="00B429E2" w:rsidTr="00B429E2">
        <w:trPr>
          <w:trHeight w:val="70"/>
          <w:jc w:val="center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49EE" w:rsidRPr="00B429E2" w:rsidRDefault="006149EE" w:rsidP="002B503C">
            <w:pPr>
              <w:widowControl w:val="0"/>
              <w:spacing w:before="120" w:after="120"/>
              <w:jc w:val="center"/>
              <w:rPr>
                <w:rFonts w:ascii="Garamond" w:hAnsi="Garamond"/>
                <w:b/>
                <w:bCs/>
              </w:rPr>
            </w:pPr>
            <w:r w:rsidRPr="00B429E2">
              <w:rPr>
                <w:rFonts w:ascii="Garamond" w:hAnsi="Garamond"/>
                <w:b/>
                <w:bCs/>
              </w:rPr>
              <w:t>Приложение</w:t>
            </w:r>
            <w:r>
              <w:rPr>
                <w:rFonts w:ascii="Garamond" w:hAnsi="Garamond"/>
                <w:b/>
                <w:bCs/>
              </w:rPr>
              <w:t xml:space="preserve"> </w:t>
            </w:r>
            <w:r w:rsidRPr="00B429E2">
              <w:rPr>
                <w:rFonts w:ascii="Garamond" w:hAnsi="Garamond"/>
                <w:b/>
                <w:bCs/>
              </w:rPr>
              <w:t>4, п. 3.1.6</w:t>
            </w:r>
          </w:p>
        </w:tc>
        <w:tc>
          <w:tcPr>
            <w:tcW w:w="69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49EE" w:rsidRPr="00B429E2" w:rsidRDefault="006149EE" w:rsidP="00187C64">
            <w:pPr>
              <w:pStyle w:val="BodyText3"/>
              <w:tabs>
                <w:tab w:val="left" w:pos="1080"/>
              </w:tabs>
              <w:spacing w:before="120"/>
              <w:ind w:firstLine="600"/>
              <w:jc w:val="both"/>
              <w:rPr>
                <w:rFonts w:ascii="Garamond" w:hAnsi="Garamond"/>
                <w:sz w:val="22"/>
                <w:szCs w:val="22"/>
              </w:rPr>
            </w:pPr>
            <w:r w:rsidRPr="00B429E2">
              <w:rPr>
                <w:rFonts w:ascii="Garamond" w:hAnsi="Garamond"/>
                <w:sz w:val="22"/>
                <w:szCs w:val="22"/>
              </w:rPr>
              <w:t>В одну ГТП не могут быть объединены (в том числе при выполнении условий предыдущего пункта)</w:t>
            </w:r>
            <w:r w:rsidRPr="00B429E2">
              <w:rPr>
                <w:rFonts w:ascii="Garamond" w:hAnsi="Garamond"/>
                <w:b/>
                <w:i/>
                <w:sz w:val="22"/>
                <w:szCs w:val="22"/>
              </w:rPr>
              <w:t xml:space="preserve"> </w:t>
            </w:r>
            <w:r w:rsidRPr="00B429E2">
              <w:rPr>
                <w:rFonts w:ascii="Garamond" w:hAnsi="Garamond"/>
                <w:sz w:val="22"/>
                <w:szCs w:val="22"/>
              </w:rPr>
              <w:t>точки поставки и соответствующие им элементы электрооборудования:</w:t>
            </w:r>
          </w:p>
          <w:p w:rsidR="006149EE" w:rsidRPr="00B429E2" w:rsidRDefault="006149EE" w:rsidP="00187C64">
            <w:pPr>
              <w:pStyle w:val="Heading5"/>
              <w:numPr>
                <w:ilvl w:val="1"/>
                <w:numId w:val="1"/>
              </w:numPr>
              <w:tabs>
                <w:tab w:val="clear" w:pos="1440"/>
                <w:tab w:val="left" w:pos="1080"/>
              </w:tabs>
              <w:autoSpaceDE/>
              <w:autoSpaceDN/>
              <w:spacing w:before="120" w:after="120"/>
              <w:ind w:left="0" w:firstLine="600"/>
              <w:jc w:val="both"/>
              <w:rPr>
                <w:rFonts w:ascii="Garamond" w:hAnsi="Garamond"/>
                <w:b w:val="0"/>
                <w:i w:val="0"/>
                <w:sz w:val="22"/>
                <w:szCs w:val="22"/>
              </w:rPr>
            </w:pPr>
            <w:r w:rsidRPr="00B429E2">
              <w:rPr>
                <w:rFonts w:ascii="Garamond" w:hAnsi="Garamond"/>
                <w:b w:val="0"/>
                <w:i w:val="0"/>
                <w:sz w:val="22"/>
                <w:szCs w:val="22"/>
              </w:rPr>
              <w:t>присоединены к электрическим сетям различных энергосистем в соответствии с их технологическим и территориальным делением, а также к различным энергорайонам;</w:t>
            </w:r>
          </w:p>
          <w:p w:rsidR="006149EE" w:rsidRPr="00B429E2" w:rsidRDefault="006149EE" w:rsidP="00187C64">
            <w:pPr>
              <w:pStyle w:val="Heading5"/>
              <w:numPr>
                <w:ilvl w:val="1"/>
                <w:numId w:val="1"/>
              </w:numPr>
              <w:tabs>
                <w:tab w:val="clear" w:pos="1440"/>
                <w:tab w:val="left" w:pos="1080"/>
              </w:tabs>
              <w:autoSpaceDE/>
              <w:autoSpaceDN/>
              <w:spacing w:before="120" w:after="120"/>
              <w:ind w:left="0" w:firstLine="600"/>
              <w:jc w:val="both"/>
              <w:rPr>
                <w:rFonts w:ascii="Garamond" w:hAnsi="Garamond"/>
                <w:b w:val="0"/>
                <w:i w:val="0"/>
                <w:sz w:val="22"/>
                <w:szCs w:val="22"/>
              </w:rPr>
            </w:pPr>
            <w:r w:rsidRPr="00B429E2">
              <w:rPr>
                <w:rFonts w:ascii="Garamond" w:hAnsi="Garamond"/>
                <w:b w:val="0"/>
                <w:i w:val="0"/>
                <w:sz w:val="22"/>
                <w:szCs w:val="22"/>
              </w:rPr>
              <w:t>связи между которыми не позволяют одновременно обеспечивать питание энергопринимающего оборудования или выдачу мощности генерирующего оборудования для всех элементов, предполагаемых к объединению в одну ГТП, в ситуации, когда включена только одна любая из связей данного комплекса электрооборудования с внешними электрическими сетями (за исключением случаев</w:t>
            </w:r>
            <w:r w:rsidRPr="00B429E2">
              <w:rPr>
                <w:rFonts w:ascii="Garamond" w:hAnsi="Garamond"/>
                <w:b w:val="0"/>
                <w:i w:val="0"/>
                <w:sz w:val="22"/>
                <w:szCs w:val="22"/>
                <w:highlight w:val="yellow"/>
              </w:rPr>
              <w:t>, когда</w:t>
            </w:r>
            <w:r w:rsidRPr="00B429E2">
              <w:rPr>
                <w:rFonts w:ascii="Garamond" w:hAnsi="Garamond"/>
                <w:b w:val="0"/>
                <w:i w:val="0"/>
                <w:sz w:val="22"/>
                <w:szCs w:val="22"/>
              </w:rPr>
              <w:t xml:space="preserve"> все точки поставки и соответствующее им электрооборудование могут быть отнесены только к одному узлу расчетной модели);</w:t>
            </w:r>
          </w:p>
          <w:p w:rsidR="006149EE" w:rsidRPr="00B429E2" w:rsidRDefault="006149EE" w:rsidP="00187C64">
            <w:pPr>
              <w:pStyle w:val="Heading5"/>
              <w:numPr>
                <w:ilvl w:val="1"/>
                <w:numId w:val="1"/>
              </w:numPr>
              <w:tabs>
                <w:tab w:val="clear" w:pos="1440"/>
                <w:tab w:val="left" w:pos="1080"/>
              </w:tabs>
              <w:autoSpaceDE/>
              <w:autoSpaceDN/>
              <w:spacing w:before="120" w:after="120"/>
              <w:ind w:left="0" w:firstLine="600"/>
              <w:jc w:val="both"/>
              <w:rPr>
                <w:rFonts w:ascii="Garamond" w:hAnsi="Garamond"/>
                <w:b w:val="0"/>
                <w:i w:val="0"/>
                <w:sz w:val="22"/>
                <w:szCs w:val="22"/>
              </w:rPr>
            </w:pPr>
            <w:r w:rsidRPr="00B429E2">
              <w:rPr>
                <w:rFonts w:ascii="Garamond" w:hAnsi="Garamond"/>
                <w:b w:val="0"/>
                <w:i w:val="0"/>
                <w:sz w:val="22"/>
                <w:szCs w:val="22"/>
              </w:rPr>
              <w:t>между которыми имеются сетевые ограничения.</w:t>
            </w:r>
          </w:p>
          <w:p w:rsidR="006149EE" w:rsidRPr="00B429E2" w:rsidRDefault="006149EE" w:rsidP="002B503C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73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49EE" w:rsidRPr="00B429E2" w:rsidRDefault="006149EE" w:rsidP="00CA0442">
            <w:pPr>
              <w:autoSpaceDE w:val="0"/>
              <w:autoSpaceDN w:val="0"/>
              <w:spacing w:before="120" w:after="120" w:line="240" w:lineRule="auto"/>
              <w:ind w:firstLine="600"/>
              <w:jc w:val="both"/>
              <w:rPr>
                <w:rFonts w:ascii="Garamond" w:hAnsi="Garamond"/>
                <w:lang w:eastAsia="ru-RU"/>
              </w:rPr>
            </w:pPr>
            <w:r w:rsidRPr="00B429E2">
              <w:rPr>
                <w:rFonts w:ascii="Garamond" w:hAnsi="Garamond"/>
                <w:lang w:eastAsia="ru-RU"/>
              </w:rPr>
              <w:t>В одну ГТП не могут быть объединены (в том числе при выполнении условий предыдущего пункта)</w:t>
            </w:r>
            <w:r w:rsidRPr="00B429E2">
              <w:rPr>
                <w:rFonts w:ascii="Garamond" w:hAnsi="Garamond"/>
                <w:b/>
                <w:bCs/>
                <w:i/>
                <w:iCs/>
                <w:lang w:eastAsia="ru-RU"/>
              </w:rPr>
              <w:t xml:space="preserve"> </w:t>
            </w:r>
            <w:r w:rsidRPr="00B429E2">
              <w:rPr>
                <w:rFonts w:ascii="Garamond" w:hAnsi="Garamond"/>
                <w:lang w:eastAsia="ru-RU"/>
              </w:rPr>
              <w:t>точки поставки и соответствующие им элементы электрооборудования:</w:t>
            </w:r>
          </w:p>
          <w:p w:rsidR="006149EE" w:rsidRPr="00B429E2" w:rsidRDefault="006149EE" w:rsidP="00CA0442">
            <w:pPr>
              <w:autoSpaceDN w:val="0"/>
              <w:spacing w:before="120" w:after="120" w:line="240" w:lineRule="auto"/>
              <w:ind w:firstLine="600"/>
              <w:jc w:val="both"/>
              <w:outlineLvl w:val="4"/>
              <w:rPr>
                <w:rFonts w:ascii="Garamond" w:hAnsi="Garamond"/>
                <w:lang w:eastAsia="ru-RU"/>
              </w:rPr>
            </w:pPr>
            <w:r w:rsidRPr="00B429E2">
              <w:rPr>
                <w:rFonts w:ascii="Garamond" w:hAnsi="Garamond" w:cs="Courier New"/>
                <w:lang w:eastAsia="ru-RU"/>
              </w:rPr>
              <w:softHyphen/>
            </w:r>
            <w:r w:rsidRPr="00B429E2">
              <w:rPr>
                <w:rFonts w:ascii="Garamond" w:hAnsi="Garamond"/>
                <w:lang w:eastAsia="ru-RU"/>
              </w:rPr>
              <w:t>       -   присоединены к электрическим сетям различных энергосистем в соответствии с их технологическим и территориальным делением, а также к различным энергорайонам;</w:t>
            </w:r>
          </w:p>
          <w:p w:rsidR="006149EE" w:rsidRPr="00B429E2" w:rsidRDefault="006149EE" w:rsidP="004B5353">
            <w:pPr>
              <w:ind w:firstLine="540"/>
              <w:jc w:val="both"/>
              <w:rPr>
                <w:rFonts w:ascii="Garamond" w:hAnsi="Garamond" w:cs="Arial"/>
              </w:rPr>
            </w:pPr>
            <w:r w:rsidRPr="00B429E2">
              <w:rPr>
                <w:rFonts w:ascii="Garamond" w:hAnsi="Garamond" w:cs="Courier New"/>
                <w:lang w:eastAsia="ru-RU"/>
              </w:rPr>
              <w:softHyphen/>
            </w:r>
            <w:r w:rsidRPr="00B429E2">
              <w:rPr>
                <w:rFonts w:ascii="Garamond" w:hAnsi="Garamond"/>
                <w:lang w:eastAsia="ru-RU"/>
              </w:rPr>
              <w:t xml:space="preserve">        -  связи между которыми не позволяют одновременно обеспечивать питание энергопринимающего оборудования или выдачу мощности генерирующего оборудования для всех элементов, предполагаемых к объединению в одну ГТП, в ситуации, когда включена только одна любая из связей данного комплекса электрооборудования с внешними электрическими сетями  (за исключением </w:t>
            </w:r>
            <w:r w:rsidRPr="00B429E2">
              <w:rPr>
                <w:rFonts w:ascii="Garamond" w:hAnsi="Garamond"/>
                <w:highlight w:val="yellow"/>
                <w:lang w:eastAsia="ru-RU"/>
              </w:rPr>
              <w:t>следующих</w:t>
            </w:r>
            <w:r w:rsidRPr="00B429E2">
              <w:rPr>
                <w:rFonts w:ascii="Garamond" w:hAnsi="Garamond"/>
                <w:lang w:eastAsia="ru-RU"/>
              </w:rPr>
              <w:t xml:space="preserve"> случаев</w:t>
            </w:r>
            <w:r w:rsidRPr="00B429E2">
              <w:rPr>
                <w:rFonts w:ascii="Garamond" w:hAnsi="Garamond"/>
                <w:highlight w:val="yellow"/>
                <w:lang w:eastAsia="ru-RU"/>
              </w:rPr>
              <w:t>:</w:t>
            </w:r>
            <w:r w:rsidRPr="00B429E2">
              <w:rPr>
                <w:rFonts w:ascii="Garamond" w:hAnsi="Garamond"/>
                <w:lang w:eastAsia="ru-RU"/>
              </w:rPr>
              <w:t xml:space="preserve"> </w:t>
            </w:r>
          </w:p>
          <w:p w:rsidR="006149EE" w:rsidRPr="00B429E2" w:rsidRDefault="006149EE" w:rsidP="00025E24">
            <w:pPr>
              <w:ind w:firstLine="540"/>
              <w:jc w:val="both"/>
              <w:rPr>
                <w:rFonts w:ascii="Garamond" w:hAnsi="Garamond" w:cs="Arial"/>
              </w:rPr>
            </w:pPr>
            <w:r w:rsidRPr="00B429E2">
              <w:rPr>
                <w:rFonts w:ascii="Garamond" w:hAnsi="Garamond" w:cs="Arial"/>
                <w:highlight w:val="yellow"/>
              </w:rPr>
              <w:t>а)</w:t>
            </w:r>
            <w:r w:rsidRPr="00B429E2">
              <w:rPr>
                <w:rFonts w:ascii="Garamond" w:hAnsi="Garamond" w:cs="Arial"/>
              </w:rPr>
              <w:t xml:space="preserve"> все точки поставки и соответствующее им электрооборудование могут быть отнесены только к одному узлу расчетной модели;</w:t>
            </w:r>
          </w:p>
          <w:p w:rsidR="006149EE" w:rsidRPr="00B429E2" w:rsidRDefault="006149EE" w:rsidP="00025E24">
            <w:pPr>
              <w:ind w:firstLine="540"/>
              <w:jc w:val="both"/>
              <w:rPr>
                <w:rFonts w:ascii="Garamond" w:hAnsi="Garamond" w:cs="Arial"/>
              </w:rPr>
            </w:pPr>
            <w:r w:rsidRPr="00B429E2">
              <w:rPr>
                <w:rFonts w:ascii="Garamond" w:hAnsi="Garamond" w:cs="Arial"/>
                <w:highlight w:val="yellow"/>
              </w:rPr>
              <w:t>б) все точки поставки, предполагаемые к включению в зарегистрированную ГТП потребления, сформированную в отношении электрооборудования одного потребителя, соответствуют принадлежащему тому же потребителю электрооборудованию, которое связано объектами электросетевого хозяйства потребителя с электрооборудованием, в отношении которого сформирована изменяемая ГТП, и относятся к любому из узлов расчетной модели, к которым отнесена изменяемая ГТП);</w:t>
            </w:r>
          </w:p>
          <w:p w:rsidR="006149EE" w:rsidRPr="00B429E2" w:rsidRDefault="006149EE" w:rsidP="00B429E2">
            <w:pPr>
              <w:autoSpaceDN w:val="0"/>
              <w:spacing w:before="120" w:after="120" w:line="240" w:lineRule="auto"/>
              <w:ind w:firstLine="600"/>
              <w:jc w:val="both"/>
              <w:outlineLvl w:val="4"/>
              <w:rPr>
                <w:rFonts w:ascii="Garamond" w:hAnsi="Garamond"/>
                <w:color w:val="FF0000"/>
                <w:lang w:eastAsia="ru-RU"/>
              </w:rPr>
            </w:pPr>
            <w:r w:rsidRPr="00B429E2">
              <w:rPr>
                <w:rFonts w:ascii="Garamond" w:hAnsi="Garamond"/>
              </w:rPr>
              <w:t xml:space="preserve">          - между которыми имеются сетевые ограничения.</w:t>
            </w:r>
          </w:p>
        </w:tc>
      </w:tr>
    </w:tbl>
    <w:p w:rsidR="006149EE" w:rsidRPr="004B5353" w:rsidRDefault="006149EE">
      <w:pPr>
        <w:rPr>
          <w:sz w:val="24"/>
          <w:szCs w:val="24"/>
        </w:rPr>
      </w:pPr>
    </w:p>
    <w:p w:rsidR="006149EE" w:rsidRPr="004B5353" w:rsidRDefault="006149EE" w:rsidP="00BD7C18">
      <w:pPr>
        <w:ind w:firstLine="708"/>
        <w:rPr>
          <w:sz w:val="24"/>
          <w:szCs w:val="24"/>
        </w:rPr>
      </w:pPr>
      <w:bookmarkStart w:id="0" w:name="_GoBack"/>
      <w:bookmarkEnd w:id="0"/>
    </w:p>
    <w:sectPr w:rsidR="006149EE" w:rsidRPr="004B5353" w:rsidSect="00B429E2">
      <w:pgSz w:w="16838" w:h="11906" w:orient="landscape"/>
      <w:pgMar w:top="143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49EE" w:rsidRDefault="006149EE" w:rsidP="00BD7C18">
      <w:pPr>
        <w:spacing w:after="0" w:line="240" w:lineRule="auto"/>
      </w:pPr>
      <w:r>
        <w:separator/>
      </w:r>
    </w:p>
  </w:endnote>
  <w:endnote w:type="continuationSeparator" w:id="0">
    <w:p w:rsidR="006149EE" w:rsidRDefault="006149EE" w:rsidP="00BD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49EE" w:rsidRDefault="006149EE" w:rsidP="00BD7C18">
      <w:pPr>
        <w:spacing w:after="0" w:line="240" w:lineRule="auto"/>
      </w:pPr>
      <w:r>
        <w:separator/>
      </w:r>
    </w:p>
  </w:footnote>
  <w:footnote w:type="continuationSeparator" w:id="0">
    <w:p w:rsidR="006149EE" w:rsidRDefault="006149EE" w:rsidP="00BD7C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558C1"/>
    <w:multiLevelType w:val="multilevel"/>
    <w:tmpl w:val="335E199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Times New Roman" w:hint="default"/>
        <w:color w:val="auto"/>
        <w:sz w:val="24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Times New Roman" w:hint="default"/>
        <w:b/>
        <w:i w:val="0"/>
        <w:color w:val="auto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7DAC1203"/>
    <w:multiLevelType w:val="hybridMultilevel"/>
    <w:tmpl w:val="6C2E909A"/>
    <w:lvl w:ilvl="0" w:tplc="85102380">
      <w:start w:val="1"/>
      <w:numFmt w:val="bullet"/>
      <w:lvlText w:val="-"/>
      <w:lvlJc w:val="left"/>
      <w:pPr>
        <w:tabs>
          <w:tab w:val="num" w:pos="927"/>
        </w:tabs>
        <w:ind w:left="851" w:hanging="284"/>
      </w:pPr>
      <w:rPr>
        <w:rFonts w:ascii="Times New Roman" w:hAnsi="Times New Roman" w:hint="default"/>
      </w:rPr>
    </w:lvl>
    <w:lvl w:ilvl="1" w:tplc="FFFFFFFF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</w:rPr>
    </w:lvl>
    <w:lvl w:ilvl="2" w:tplc="C37858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18A3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117A"/>
    <w:rsid w:val="00006B25"/>
    <w:rsid w:val="000079E9"/>
    <w:rsid w:val="00025E24"/>
    <w:rsid w:val="0006117A"/>
    <w:rsid w:val="000C6CA2"/>
    <w:rsid w:val="001777E0"/>
    <w:rsid w:val="00187C64"/>
    <w:rsid w:val="001B27EF"/>
    <w:rsid w:val="001D7F55"/>
    <w:rsid w:val="0022322A"/>
    <w:rsid w:val="00225827"/>
    <w:rsid w:val="002B503C"/>
    <w:rsid w:val="003020F5"/>
    <w:rsid w:val="003048C7"/>
    <w:rsid w:val="00387268"/>
    <w:rsid w:val="003C32A5"/>
    <w:rsid w:val="00426B52"/>
    <w:rsid w:val="004A3826"/>
    <w:rsid w:val="004B5353"/>
    <w:rsid w:val="00504A3E"/>
    <w:rsid w:val="00542683"/>
    <w:rsid w:val="00602CF5"/>
    <w:rsid w:val="006149EE"/>
    <w:rsid w:val="006778F7"/>
    <w:rsid w:val="00685252"/>
    <w:rsid w:val="006B222F"/>
    <w:rsid w:val="00712B51"/>
    <w:rsid w:val="00726E58"/>
    <w:rsid w:val="00730707"/>
    <w:rsid w:val="0073245C"/>
    <w:rsid w:val="00735DAA"/>
    <w:rsid w:val="00736109"/>
    <w:rsid w:val="0076771B"/>
    <w:rsid w:val="00770FC5"/>
    <w:rsid w:val="0081532D"/>
    <w:rsid w:val="00816508"/>
    <w:rsid w:val="00850A53"/>
    <w:rsid w:val="008B2DAB"/>
    <w:rsid w:val="009C450B"/>
    <w:rsid w:val="00A10300"/>
    <w:rsid w:val="00A14E0B"/>
    <w:rsid w:val="00A81B24"/>
    <w:rsid w:val="00AD0225"/>
    <w:rsid w:val="00AE30FF"/>
    <w:rsid w:val="00B429E2"/>
    <w:rsid w:val="00B65DF7"/>
    <w:rsid w:val="00BA57E7"/>
    <w:rsid w:val="00BB2D8A"/>
    <w:rsid w:val="00BD7C18"/>
    <w:rsid w:val="00C30993"/>
    <w:rsid w:val="00C65677"/>
    <w:rsid w:val="00C67E41"/>
    <w:rsid w:val="00C97954"/>
    <w:rsid w:val="00CA0442"/>
    <w:rsid w:val="00CF535D"/>
    <w:rsid w:val="00D6682E"/>
    <w:rsid w:val="00D73BBE"/>
    <w:rsid w:val="00DA0000"/>
    <w:rsid w:val="00DE2F43"/>
    <w:rsid w:val="00DE3AAD"/>
    <w:rsid w:val="00DE7FF9"/>
    <w:rsid w:val="00E40709"/>
    <w:rsid w:val="00EE0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268"/>
    <w:pPr>
      <w:spacing w:after="160" w:line="259" w:lineRule="auto"/>
    </w:pPr>
    <w:rPr>
      <w:lang w:eastAsia="en-US"/>
    </w:rPr>
  </w:style>
  <w:style w:type="paragraph" w:styleId="Heading4">
    <w:name w:val="heading 4"/>
    <w:aliases w:val="H41,Sub-Minor,Level 2 - a,H4"/>
    <w:basedOn w:val="Normal"/>
    <w:next w:val="Normal"/>
    <w:link w:val="Heading4Char"/>
    <w:uiPriority w:val="99"/>
    <w:qFormat/>
    <w:rsid w:val="0006117A"/>
    <w:pPr>
      <w:keepNext/>
      <w:numPr>
        <w:ilvl w:val="3"/>
        <w:numId w:val="2"/>
      </w:numPr>
      <w:autoSpaceDE w:val="0"/>
      <w:autoSpaceDN w:val="0"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Heading5">
    <w:name w:val="heading 5"/>
    <w:aliases w:val="h5,h51,H5,H51,h52,test,Block Label,Level 3 - i"/>
    <w:basedOn w:val="Normal"/>
    <w:next w:val="Normal"/>
    <w:link w:val="Heading5Char"/>
    <w:uiPriority w:val="99"/>
    <w:qFormat/>
    <w:rsid w:val="0006117A"/>
    <w:pPr>
      <w:numPr>
        <w:ilvl w:val="4"/>
        <w:numId w:val="2"/>
      </w:numPr>
      <w:autoSpaceDE w:val="0"/>
      <w:autoSpaceDN w:val="0"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Heading6">
    <w:name w:val="heading 6"/>
    <w:aliases w:val="Legal Level 1."/>
    <w:basedOn w:val="Normal"/>
    <w:next w:val="Normal"/>
    <w:link w:val="Heading6Char"/>
    <w:uiPriority w:val="99"/>
    <w:qFormat/>
    <w:rsid w:val="0006117A"/>
    <w:pPr>
      <w:numPr>
        <w:ilvl w:val="5"/>
        <w:numId w:val="2"/>
      </w:numPr>
      <w:autoSpaceDE w:val="0"/>
      <w:autoSpaceDN w:val="0"/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Heading7">
    <w:name w:val="heading 7"/>
    <w:aliases w:val="Appendix Header,Legal Level 1.1."/>
    <w:basedOn w:val="Normal"/>
    <w:next w:val="Normal"/>
    <w:link w:val="Heading7Char"/>
    <w:uiPriority w:val="99"/>
    <w:qFormat/>
    <w:rsid w:val="0006117A"/>
    <w:pPr>
      <w:numPr>
        <w:ilvl w:val="6"/>
        <w:numId w:val="2"/>
      </w:num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eading8">
    <w:name w:val="heading 8"/>
    <w:aliases w:val="Legal Level 1.1.1."/>
    <w:basedOn w:val="Normal"/>
    <w:next w:val="Normal"/>
    <w:link w:val="Heading8Char"/>
    <w:uiPriority w:val="99"/>
    <w:qFormat/>
    <w:rsid w:val="0006117A"/>
    <w:pPr>
      <w:numPr>
        <w:ilvl w:val="7"/>
        <w:numId w:val="2"/>
      </w:numPr>
      <w:spacing w:before="240" w:after="60" w:line="270" w:lineRule="atLeast"/>
      <w:outlineLvl w:val="7"/>
    </w:pPr>
    <w:rPr>
      <w:rFonts w:ascii="Arial" w:eastAsia="Times New Roman" w:hAnsi="Arial"/>
      <w:i/>
      <w:sz w:val="20"/>
      <w:szCs w:val="20"/>
      <w:lang w:val="de-DE" w:eastAsia="ru-RU"/>
    </w:rPr>
  </w:style>
  <w:style w:type="paragraph" w:styleId="Heading9">
    <w:name w:val="heading 9"/>
    <w:aliases w:val="Legal Level 1.1.1.1."/>
    <w:basedOn w:val="Normal"/>
    <w:next w:val="Normal"/>
    <w:link w:val="Heading9Char"/>
    <w:uiPriority w:val="99"/>
    <w:qFormat/>
    <w:rsid w:val="0006117A"/>
    <w:pPr>
      <w:numPr>
        <w:ilvl w:val="8"/>
        <w:numId w:val="2"/>
      </w:numPr>
      <w:spacing w:before="240" w:after="60" w:line="270" w:lineRule="atLeast"/>
      <w:outlineLvl w:val="8"/>
    </w:pPr>
    <w:rPr>
      <w:rFonts w:ascii="Arial" w:eastAsia="Times New Roman" w:hAnsi="Arial"/>
      <w:i/>
      <w:sz w:val="18"/>
      <w:szCs w:val="20"/>
      <w:lang w:val="de-DE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1 Char,Sub-Minor Char,Level 2 - a Char,H4 Char"/>
    <w:basedOn w:val="DefaultParagraphFont"/>
    <w:link w:val="Heading4"/>
    <w:uiPriority w:val="99"/>
    <w:locked/>
    <w:rsid w:val="0006117A"/>
    <w:rPr>
      <w:rFonts w:ascii="Calibri" w:hAnsi="Calibri" w:cs="Times New Roman"/>
      <w:b/>
      <w:bCs/>
      <w:sz w:val="28"/>
      <w:szCs w:val="28"/>
      <w:lang w:eastAsia="ru-RU"/>
    </w:rPr>
  </w:style>
  <w:style w:type="character" w:customStyle="1" w:styleId="Heading5Char">
    <w:name w:val="Heading 5 Char"/>
    <w:aliases w:val="h5 Char,h51 Char,H5 Char,H51 Char,h52 Char,test Char,Block Label Char,Level 3 - i Char"/>
    <w:basedOn w:val="DefaultParagraphFont"/>
    <w:link w:val="Heading5"/>
    <w:uiPriority w:val="99"/>
    <w:locked/>
    <w:rsid w:val="0006117A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Heading6Char">
    <w:name w:val="Heading 6 Char"/>
    <w:aliases w:val="Legal Level 1. Char"/>
    <w:basedOn w:val="DefaultParagraphFont"/>
    <w:link w:val="Heading6"/>
    <w:uiPriority w:val="99"/>
    <w:locked/>
    <w:rsid w:val="0006117A"/>
    <w:rPr>
      <w:rFonts w:ascii="Times New Roman" w:hAnsi="Times New Roman" w:cs="Times New Roman"/>
      <w:b/>
      <w:bCs/>
      <w:lang w:eastAsia="ru-RU"/>
    </w:rPr>
  </w:style>
  <w:style w:type="character" w:customStyle="1" w:styleId="Heading7Char">
    <w:name w:val="Heading 7 Char"/>
    <w:aliases w:val="Appendix Header Char,Legal Level 1.1. Char"/>
    <w:basedOn w:val="DefaultParagraphFont"/>
    <w:link w:val="Heading7"/>
    <w:uiPriority w:val="99"/>
    <w:locked/>
    <w:rsid w:val="0006117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8Char">
    <w:name w:val="Heading 8 Char"/>
    <w:aliases w:val="Legal Level 1.1.1. Char"/>
    <w:basedOn w:val="DefaultParagraphFont"/>
    <w:link w:val="Heading8"/>
    <w:uiPriority w:val="99"/>
    <w:locked/>
    <w:rsid w:val="0006117A"/>
    <w:rPr>
      <w:rFonts w:ascii="Arial" w:hAnsi="Arial" w:cs="Times New Roman"/>
      <w:i/>
      <w:sz w:val="20"/>
      <w:szCs w:val="20"/>
      <w:lang w:val="de-DE" w:eastAsia="ru-RU"/>
    </w:rPr>
  </w:style>
  <w:style w:type="character" w:customStyle="1" w:styleId="Heading9Char">
    <w:name w:val="Heading 9 Char"/>
    <w:aliases w:val="Legal Level 1.1.1.1. Char"/>
    <w:basedOn w:val="DefaultParagraphFont"/>
    <w:link w:val="Heading9"/>
    <w:uiPriority w:val="99"/>
    <w:locked/>
    <w:rsid w:val="0006117A"/>
    <w:rPr>
      <w:rFonts w:ascii="Arial" w:hAnsi="Arial" w:cs="Times New Roman"/>
      <w:i/>
      <w:sz w:val="20"/>
      <w:szCs w:val="20"/>
      <w:lang w:val="de-DE" w:eastAsia="ru-RU"/>
    </w:rPr>
  </w:style>
  <w:style w:type="table" w:styleId="TableGrid">
    <w:name w:val="Table Grid"/>
    <w:basedOn w:val="TableNormal"/>
    <w:uiPriority w:val="99"/>
    <w:rsid w:val="0006117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uiPriority w:val="99"/>
    <w:rsid w:val="0006117A"/>
    <w:pPr>
      <w:autoSpaceDE w:val="0"/>
      <w:autoSpaceDN w:val="0"/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06117A"/>
    <w:rPr>
      <w:rFonts w:ascii="Times New Roman" w:hAnsi="Times New Roman" w:cs="Times New Roman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BA57E7"/>
    <w:pPr>
      <w:tabs>
        <w:tab w:val="center" w:pos="4320"/>
        <w:tab w:val="right" w:pos="8640"/>
      </w:tabs>
      <w:autoSpaceDE w:val="0"/>
      <w:autoSpaceDN w:val="0"/>
      <w:spacing w:after="0" w:line="240" w:lineRule="auto"/>
    </w:pPr>
    <w:rPr>
      <w:rFonts w:ascii="MS Sans Serif" w:eastAsia="Times New Roman" w:hAnsi="MS Sans Serif"/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A57E7"/>
    <w:rPr>
      <w:rFonts w:ascii="MS Sans Serif" w:hAnsi="MS Sans Serif" w:cs="Times New Roman"/>
      <w:sz w:val="20"/>
      <w:szCs w:val="20"/>
      <w:lang w:eastAsia="ru-RU"/>
    </w:rPr>
  </w:style>
  <w:style w:type="paragraph" w:customStyle="1" w:styleId="TOCTitle">
    <w:name w:val="TOC Title"/>
    <w:basedOn w:val="Normal"/>
    <w:uiPriority w:val="99"/>
    <w:rsid w:val="00BA57E7"/>
    <w:pPr>
      <w:keepLines/>
      <w:spacing w:before="120" w:after="240" w:line="240" w:lineRule="auto"/>
      <w:jc w:val="center"/>
    </w:pPr>
    <w:rPr>
      <w:rFonts w:ascii="Garamond" w:eastAsia="Times New Roman" w:hAnsi="Garamond"/>
      <w:b/>
      <w:sz w:val="32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E407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0709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BD7C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D7C1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2</Pages>
  <Words>467</Words>
  <Characters>2666</Characters>
  <Application>Microsoft Office Outlook</Application>
  <DocSecurity>0</DocSecurity>
  <Lines>0</Lines>
  <Paragraphs>0</Paragraphs>
  <ScaleCrop>false</ScaleCrop>
  <Company>SUEK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Катаев Андрей Михайлович</dc:creator>
  <cp:keywords/>
  <dc:description/>
  <cp:lastModifiedBy>123</cp:lastModifiedBy>
  <cp:revision>6</cp:revision>
  <cp:lastPrinted>2016-05-19T14:52:00Z</cp:lastPrinted>
  <dcterms:created xsi:type="dcterms:W3CDTF">2016-05-18T09:34:00Z</dcterms:created>
  <dcterms:modified xsi:type="dcterms:W3CDTF">2016-05-20T08:10:00Z</dcterms:modified>
</cp:coreProperties>
</file>